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EC" w:rsidRDefault="000F3AEC" w:rsidP="000F3AEC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0F3AEC">
        <w:rPr>
          <w:rFonts w:ascii="Century Gothic" w:eastAsia="Times New Roman" w:hAnsi="Century Gothic" w:cs="Arial"/>
          <w:sz w:val="24"/>
          <w:szCs w:val="24"/>
          <w:lang w:eastAsia="es-ES"/>
        </w:rPr>
        <w:br/>
      </w:r>
    </w:p>
    <w:p w:rsidR="000F3AEC" w:rsidRPr="001576B5" w:rsidRDefault="000F3AEC" w:rsidP="000F3AEC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b/>
          <w:sz w:val="28"/>
          <w:szCs w:val="28"/>
          <w:u w:val="single"/>
          <w:lang w:eastAsia="es-ES"/>
        </w:rPr>
      </w:pPr>
      <w:r w:rsidRPr="001576B5">
        <w:rPr>
          <w:rFonts w:ascii="Century Gothic" w:eastAsia="Times New Roman" w:hAnsi="Century Gothic" w:cs="Arial"/>
          <w:b/>
          <w:sz w:val="28"/>
          <w:szCs w:val="28"/>
          <w:u w:val="single"/>
          <w:lang w:eastAsia="es-ES"/>
        </w:rPr>
        <w:t>Nueva regulación de los procedimientos de ejecución hipotecaria.</w:t>
      </w:r>
    </w:p>
    <w:p w:rsidR="00962970" w:rsidRDefault="00962970" w:rsidP="00962970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</w:p>
    <w:p w:rsidR="000F3AEC" w:rsidRDefault="000F3AEC" w:rsidP="00962970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sz w:val="24"/>
          <w:szCs w:val="24"/>
          <w:lang w:eastAsia="es-ES"/>
        </w:rPr>
        <w:t>El día 7 de julio se dictó el Real Decreto Legislativo nº 8/2011 por el que se adoptaron medidas de apoyo a los deudores hipotecarios, de control del gasto público y cancelación de deudas con empresas y autónomos contraídas por las entidades locales, de fomento de la actividad empresarial e impulso de la rehabilitación y de simplificación administrativa.</w:t>
      </w:r>
    </w:p>
    <w:p w:rsidR="00332621" w:rsidRDefault="000F3AEC" w:rsidP="00962970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sz w:val="24"/>
          <w:szCs w:val="24"/>
          <w:lang w:eastAsia="es-ES"/>
        </w:rPr>
        <w:t>El motivo de dictarse dicha norma no es otro que</w:t>
      </w:r>
      <w:r w:rsidR="00332621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la búsqueda de medidas que favorezcan a aquéllos deudores hipotecarios que se ven impedidos de abonar las cuota hipotecarias,  e inmersos en procesos judiciales hipotecarios en los que ven perder sus bienes valorados en cantidades muy alejadas del mercado inmobiliario actual.</w:t>
      </w:r>
    </w:p>
    <w:p w:rsidR="003C1E29" w:rsidRDefault="00332621" w:rsidP="00962970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Por ello, </w:t>
      </w:r>
      <w:r w:rsidR="003C1E29">
        <w:rPr>
          <w:rFonts w:ascii="Century Gothic" w:eastAsia="Times New Roman" w:hAnsi="Century Gothic" w:cs="Arial"/>
          <w:sz w:val="24"/>
          <w:szCs w:val="24"/>
          <w:lang w:eastAsia="es-ES"/>
        </w:rPr>
        <w:t>las principales reformas van encaminadas a obtener con la subasta del inmueble hipotecado la mayor cantidad de deuda posible, y a limitar las cantidades embargables por sueldos, nóminas o pensiones.</w:t>
      </w:r>
    </w:p>
    <w:p w:rsidR="00332621" w:rsidRDefault="003C1E29" w:rsidP="00962970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sz w:val="24"/>
          <w:szCs w:val="24"/>
          <w:lang w:eastAsia="es-ES"/>
        </w:rPr>
        <w:t>Las reformas</w:t>
      </w:r>
      <w:r w:rsidR="00A31116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más relevantes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, se centran </w:t>
      </w:r>
      <w:r w:rsidR="00332621">
        <w:rPr>
          <w:rFonts w:ascii="Century Gothic" w:eastAsia="Times New Roman" w:hAnsi="Century Gothic" w:cs="Arial"/>
          <w:sz w:val="24"/>
          <w:szCs w:val="24"/>
          <w:lang w:eastAsia="es-ES"/>
        </w:rPr>
        <w:t>en los siguientes aspectos más considerables:</w:t>
      </w:r>
    </w:p>
    <w:p w:rsidR="000F3AEC" w:rsidRPr="00962970" w:rsidRDefault="00962970" w:rsidP="00962970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332621">
        <w:rPr>
          <w:rFonts w:ascii="Century Gothic" w:eastAsia="Times New Roman" w:hAnsi="Century Gothic" w:cs="Arial"/>
          <w:b/>
          <w:sz w:val="24"/>
          <w:szCs w:val="24"/>
          <w:lang w:eastAsia="es-ES"/>
        </w:rPr>
        <w:t>1.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</w:t>
      </w:r>
      <w:r w:rsidR="003F681B" w:rsidRPr="00962970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Con el fin de fomentar la participación de un mayor número de interesados en las subastas judiciales, </w:t>
      </w:r>
      <w:r w:rsidR="00751DFA" w:rsidRPr="00962970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</w:t>
      </w:r>
      <w:r w:rsidR="003F681B" w:rsidRPr="00962970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</w:t>
      </w:r>
      <w:r w:rsidR="003F681B" w:rsidRPr="00332621">
        <w:rPr>
          <w:rFonts w:ascii="Century Gothic" w:eastAsia="Times New Roman" w:hAnsi="Century Gothic" w:cs="Arial"/>
          <w:b/>
          <w:sz w:val="24"/>
          <w:szCs w:val="24"/>
          <w:u w:val="single"/>
          <w:lang w:eastAsia="es-ES"/>
        </w:rPr>
        <w:t>para pujar es suficiente haber consignado o presentado aval por el 20 % del tipo de subasta</w:t>
      </w:r>
      <w:r w:rsidR="003F681B" w:rsidRPr="00962970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, tanto para los bienes inmuebles (que antes era el 30 %), como para los bienes muebles. </w:t>
      </w:r>
    </w:p>
    <w:p w:rsidR="001576B5" w:rsidRDefault="001576B5" w:rsidP="00962970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Arial"/>
          <w:b/>
          <w:sz w:val="24"/>
          <w:szCs w:val="24"/>
          <w:lang w:eastAsia="es-ES"/>
        </w:rPr>
      </w:pPr>
    </w:p>
    <w:p w:rsidR="00751DFA" w:rsidRPr="00962970" w:rsidRDefault="00962970" w:rsidP="00962970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332621">
        <w:rPr>
          <w:rFonts w:ascii="Century Gothic" w:eastAsia="Times New Roman" w:hAnsi="Century Gothic" w:cs="Arial"/>
          <w:b/>
          <w:sz w:val="24"/>
          <w:szCs w:val="24"/>
          <w:lang w:eastAsia="es-ES"/>
        </w:rPr>
        <w:t>2.</w:t>
      </w:r>
      <w:r w:rsidR="00751DFA" w:rsidRPr="00332621">
        <w:rPr>
          <w:rFonts w:ascii="Century Gothic" w:eastAsia="Times New Roman" w:hAnsi="Century Gothic" w:cs="Arial"/>
          <w:b/>
          <w:sz w:val="24"/>
          <w:szCs w:val="24"/>
          <w:lang w:eastAsia="es-ES"/>
        </w:rPr>
        <w:t xml:space="preserve"> </w:t>
      </w:r>
      <w:r w:rsidR="00751DFA" w:rsidRPr="00332621">
        <w:rPr>
          <w:rFonts w:ascii="Century Gothic" w:eastAsia="Times New Roman" w:hAnsi="Century Gothic" w:cs="Arial"/>
          <w:b/>
          <w:sz w:val="24"/>
          <w:szCs w:val="24"/>
          <w:u w:val="single"/>
          <w:lang w:eastAsia="es-ES"/>
        </w:rPr>
        <w:t>Se establece un mínimo de valor de adquisición de los inmuebles que se subastan que ha de ser respetado por el ejecutante</w:t>
      </w:r>
      <w:r w:rsidR="00751DFA" w:rsidRPr="00962970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, consistente en el </w:t>
      </w:r>
      <w:r w:rsidR="00751DFA" w:rsidRPr="00332621">
        <w:rPr>
          <w:rFonts w:ascii="Century Gothic" w:eastAsia="Times New Roman" w:hAnsi="Century Gothic" w:cs="Arial"/>
          <w:b/>
          <w:sz w:val="24"/>
          <w:szCs w:val="24"/>
          <w:lang w:eastAsia="es-ES"/>
        </w:rPr>
        <w:t>60 % del valor del tipo para la subasta</w:t>
      </w:r>
      <w:r w:rsidR="00751DFA" w:rsidRPr="00962970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. </w:t>
      </w:r>
    </w:p>
    <w:p w:rsidR="00751DFA" w:rsidRPr="00962970" w:rsidRDefault="00751DFA" w:rsidP="00962970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962970">
        <w:rPr>
          <w:rFonts w:ascii="Century Gothic" w:eastAsia="Times New Roman" w:hAnsi="Century Gothic" w:cs="Arial"/>
          <w:sz w:val="24"/>
          <w:szCs w:val="24"/>
          <w:lang w:eastAsia="es-ES"/>
        </w:rPr>
        <w:t>Esto significa que en el caso de que la mejor postura ofrecida sea menos del 70 %  pero mayor del 50 %, podrá el ejecutado presentar a un tercero que mejore la postura, y si no lo hace en plazo, podrá el ejecutante ad</w:t>
      </w:r>
      <w:r w:rsidR="002E62FD" w:rsidRPr="00962970">
        <w:rPr>
          <w:rFonts w:ascii="Century Gothic" w:eastAsia="Times New Roman" w:hAnsi="Century Gothic" w:cs="Arial"/>
          <w:sz w:val="24"/>
          <w:szCs w:val="24"/>
          <w:lang w:eastAsia="es-ES"/>
        </w:rPr>
        <w:t>judicarse el bien no por menos del 60 % del tipo de subasta.</w:t>
      </w:r>
    </w:p>
    <w:p w:rsidR="002E62FD" w:rsidRPr="00962970" w:rsidRDefault="002E62FD" w:rsidP="00962970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962970">
        <w:rPr>
          <w:rFonts w:ascii="Century Gothic" w:eastAsia="Times New Roman" w:hAnsi="Century Gothic" w:cs="Arial"/>
          <w:sz w:val="24"/>
          <w:szCs w:val="24"/>
          <w:lang w:eastAsia="es-ES"/>
        </w:rPr>
        <w:lastRenderedPageBreak/>
        <w:t xml:space="preserve">A pesar del límite establecido en la nueva regulación, no hay que olvidar que en la mayoría de las subastas concurre la entidad bancaria, y la “inmobiliaria” </w:t>
      </w:r>
      <w:r w:rsidR="00332621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perteneciente al mismo </w:t>
      </w:r>
      <w:r w:rsidRPr="00962970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grupo bancario, que </w:t>
      </w:r>
      <w:r w:rsidR="001576B5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podrán buscar estrategias para </w:t>
      </w:r>
      <w:r w:rsidRPr="00962970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manipular el precio final como hasta ahora venía sucediendo. </w:t>
      </w:r>
    </w:p>
    <w:p w:rsidR="001576B5" w:rsidRDefault="001576B5" w:rsidP="00962970">
      <w:pPr>
        <w:spacing w:before="100" w:beforeAutospacing="1" w:after="100" w:afterAutospacing="1" w:line="240" w:lineRule="auto"/>
        <w:ind w:firstLine="709"/>
        <w:jc w:val="both"/>
        <w:rPr>
          <w:rFonts w:ascii="Century Gothic" w:eastAsia="Times New Roman" w:hAnsi="Century Gothic" w:cs="Arial"/>
          <w:b/>
          <w:sz w:val="24"/>
          <w:szCs w:val="24"/>
          <w:lang w:eastAsia="es-ES"/>
        </w:rPr>
      </w:pPr>
    </w:p>
    <w:p w:rsidR="004D43BA" w:rsidRPr="00962970" w:rsidRDefault="00962970" w:rsidP="00962970">
      <w:pPr>
        <w:spacing w:before="100" w:beforeAutospacing="1" w:after="100" w:afterAutospacing="1" w:line="240" w:lineRule="auto"/>
        <w:ind w:firstLine="709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1576B5">
        <w:rPr>
          <w:rFonts w:ascii="Century Gothic" w:eastAsia="Times New Roman" w:hAnsi="Century Gothic" w:cs="Arial"/>
          <w:b/>
          <w:sz w:val="24"/>
          <w:szCs w:val="24"/>
          <w:lang w:eastAsia="es-ES"/>
        </w:rPr>
        <w:t xml:space="preserve">3. </w:t>
      </w:r>
      <w:r w:rsidR="004D43BA" w:rsidRPr="001576B5">
        <w:rPr>
          <w:rFonts w:ascii="Century Gothic" w:eastAsia="Times New Roman" w:hAnsi="Century Gothic" w:cs="Arial"/>
          <w:b/>
          <w:sz w:val="24"/>
          <w:szCs w:val="24"/>
          <w:u w:val="single"/>
          <w:lang w:eastAsia="es-ES"/>
        </w:rPr>
        <w:t>En el caso de las subastas sin postores</w:t>
      </w:r>
      <w:r w:rsidR="004D43BA" w:rsidRPr="001576B5">
        <w:rPr>
          <w:rFonts w:ascii="Century Gothic" w:eastAsia="Times New Roman" w:hAnsi="Century Gothic" w:cs="Arial"/>
          <w:b/>
          <w:sz w:val="24"/>
          <w:szCs w:val="24"/>
          <w:lang w:eastAsia="es-ES"/>
        </w:rPr>
        <w:t>,</w:t>
      </w:r>
      <w:r w:rsidR="004D43BA" w:rsidRPr="00962970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se ha producido </w:t>
      </w:r>
      <w:r w:rsidR="001576B5">
        <w:rPr>
          <w:rFonts w:ascii="Century Gothic" w:eastAsia="Times New Roman" w:hAnsi="Century Gothic" w:cs="Arial"/>
          <w:sz w:val="24"/>
          <w:szCs w:val="24"/>
          <w:lang w:eastAsia="es-ES"/>
        </w:rPr>
        <w:t>una modificación importante</w:t>
      </w:r>
      <w:r w:rsidR="004D43BA" w:rsidRPr="00962970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destinada a favorecer a los deudores hipotecarios, </w:t>
      </w:r>
      <w:r w:rsidR="004D43BA" w:rsidRPr="001576B5">
        <w:rPr>
          <w:rFonts w:ascii="Century Gothic" w:eastAsia="Times New Roman" w:hAnsi="Century Gothic" w:cs="Arial"/>
          <w:b/>
          <w:sz w:val="24"/>
          <w:szCs w:val="24"/>
          <w:u w:val="single"/>
          <w:lang w:eastAsia="es-ES"/>
        </w:rPr>
        <w:t>estableciendo también un mínimo de valor de adquisición del bien hipotecado por el ejecutante</w:t>
      </w:r>
      <w:r w:rsidR="004D43BA" w:rsidRPr="00962970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. </w:t>
      </w:r>
    </w:p>
    <w:p w:rsidR="00962970" w:rsidRPr="00962970" w:rsidRDefault="001576B5" w:rsidP="00962970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sz w:val="24"/>
          <w:szCs w:val="24"/>
          <w:lang w:eastAsia="es-ES"/>
        </w:rPr>
        <w:t>En concreto, t</w:t>
      </w:r>
      <w:r w:rsidR="004D43BA" w:rsidRPr="00962970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ras la reforma, se ha suprimido expresamente la posibilidad del ejecutante de adjudicarse el bien por todos los conceptos que se le adeudaran (principal, intereses y costas procesales), </w:t>
      </w:r>
      <w:r w:rsidR="00A31116">
        <w:rPr>
          <w:rFonts w:ascii="Century Gothic" w:eastAsia="Times New Roman" w:hAnsi="Century Gothic" w:cs="Arial"/>
          <w:sz w:val="24"/>
          <w:szCs w:val="24"/>
          <w:lang w:eastAsia="es-ES"/>
        </w:rPr>
        <w:t>aunque lo cierto</w:t>
      </w:r>
      <w:r w:rsidR="00962970" w:rsidRPr="00962970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es que se entiende que sí que podría hacerlo pues 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con ello </w:t>
      </w:r>
      <w:r w:rsidR="00962970" w:rsidRPr="00962970">
        <w:rPr>
          <w:rFonts w:ascii="Century Gothic" w:eastAsia="Times New Roman" w:hAnsi="Century Gothic" w:cs="Arial"/>
          <w:sz w:val="24"/>
          <w:szCs w:val="24"/>
          <w:lang w:eastAsia="es-ES"/>
        </w:rPr>
        <w:t>beneficiaría siempre al deudor hipotecario.</w:t>
      </w:r>
    </w:p>
    <w:p w:rsidR="00751DFA" w:rsidRPr="000F3AEC" w:rsidRDefault="00962970" w:rsidP="00962970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962970">
        <w:rPr>
          <w:rFonts w:ascii="Century Gothic" w:eastAsia="Times New Roman" w:hAnsi="Century Gothic" w:cs="Arial"/>
          <w:sz w:val="24"/>
          <w:szCs w:val="24"/>
          <w:lang w:eastAsia="es-ES"/>
        </w:rPr>
        <w:t>El valor mínimo de adquisición del inmueble se ha incrementado a</w:t>
      </w:r>
      <w:r w:rsidR="004D43BA" w:rsidRPr="00962970">
        <w:rPr>
          <w:rFonts w:ascii="Century Gothic" w:eastAsia="Times New Roman" w:hAnsi="Century Gothic" w:cs="Arial"/>
          <w:sz w:val="24"/>
          <w:szCs w:val="24"/>
          <w:lang w:eastAsia="es-ES"/>
        </w:rPr>
        <w:t>l 60 % o más del valor que sirvió de tipo para la subasta</w:t>
      </w:r>
      <w:r w:rsidR="001576B5">
        <w:rPr>
          <w:rFonts w:ascii="Century Gothic" w:eastAsia="Times New Roman" w:hAnsi="Century Gothic" w:cs="Arial"/>
          <w:sz w:val="24"/>
          <w:szCs w:val="24"/>
          <w:lang w:eastAsia="es-ES"/>
        </w:rPr>
        <w:t>, advirtiendo que cuando el acreedor</w:t>
      </w:r>
      <w:r w:rsidR="00751DFA" w:rsidRPr="000F3AEC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en el plazo de veinte días, no hiciere uso de esa facultad, el Secretario judicial procederá al alzamiento del embargo, a instancia del ejecutado.</w:t>
      </w:r>
    </w:p>
    <w:p w:rsidR="003F681B" w:rsidRPr="003F681B" w:rsidRDefault="003F681B" w:rsidP="003F681B">
      <w:pPr>
        <w:pStyle w:val="Prrafodelista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</w:p>
    <w:p w:rsidR="000F3AEC" w:rsidRPr="000F3AEC" w:rsidRDefault="00962970" w:rsidP="000F3AEC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sz w:val="24"/>
          <w:szCs w:val="24"/>
          <w:lang w:eastAsia="es-ES"/>
        </w:rPr>
        <w:tab/>
      </w:r>
      <w:r w:rsidRPr="001576B5">
        <w:rPr>
          <w:rFonts w:ascii="Century Gothic" w:eastAsia="Times New Roman" w:hAnsi="Century Gothic" w:cs="Arial"/>
          <w:b/>
          <w:sz w:val="24"/>
          <w:szCs w:val="24"/>
          <w:lang w:eastAsia="es-ES"/>
        </w:rPr>
        <w:t>4.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El último, </w:t>
      </w:r>
      <w:r w:rsidR="001576B5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el 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aspecto más relevante </w:t>
      </w:r>
      <w:r w:rsidR="001576B5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de la reforma 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es </w:t>
      </w:r>
      <w:r w:rsidRPr="001576B5">
        <w:rPr>
          <w:rFonts w:ascii="Century Gothic" w:eastAsia="Times New Roman" w:hAnsi="Century Gothic" w:cs="Arial"/>
          <w:sz w:val="24"/>
          <w:szCs w:val="24"/>
          <w:u w:val="single"/>
          <w:lang w:eastAsia="es-ES"/>
        </w:rPr>
        <w:t>l</w:t>
      </w:r>
      <w:r w:rsidRPr="00A31116">
        <w:rPr>
          <w:rFonts w:ascii="Century Gothic" w:eastAsia="Times New Roman" w:hAnsi="Century Gothic" w:cs="Arial"/>
          <w:b/>
          <w:sz w:val="24"/>
          <w:szCs w:val="24"/>
          <w:u w:val="single"/>
          <w:lang w:eastAsia="es-ES"/>
        </w:rPr>
        <w:t xml:space="preserve">a </w:t>
      </w:r>
      <w:r w:rsidRPr="001576B5">
        <w:rPr>
          <w:rFonts w:ascii="Century Gothic" w:eastAsia="Times New Roman" w:hAnsi="Century Gothic" w:cs="Arial"/>
          <w:b/>
          <w:bCs/>
          <w:sz w:val="24"/>
          <w:szCs w:val="24"/>
          <w:u w:val="single"/>
          <w:lang w:eastAsia="es-ES"/>
        </w:rPr>
        <w:t>i</w:t>
      </w:r>
      <w:r w:rsidR="000F3AEC" w:rsidRPr="001576B5">
        <w:rPr>
          <w:rFonts w:ascii="Century Gothic" w:eastAsia="Times New Roman" w:hAnsi="Century Gothic" w:cs="Arial"/>
          <w:b/>
          <w:bCs/>
          <w:sz w:val="24"/>
          <w:szCs w:val="24"/>
          <w:u w:val="single"/>
          <w:lang w:eastAsia="es-ES"/>
        </w:rPr>
        <w:t>nembargabilidad de ingresos mínimos familiares</w:t>
      </w:r>
      <w:r w:rsidRPr="001576B5">
        <w:rPr>
          <w:rFonts w:ascii="Century Gothic" w:eastAsia="Times New Roman" w:hAnsi="Century Gothic" w:cs="Arial"/>
          <w:b/>
          <w:bCs/>
          <w:sz w:val="24"/>
          <w:szCs w:val="24"/>
          <w:u w:val="single"/>
          <w:lang w:eastAsia="es-ES"/>
        </w:rPr>
        <w:t xml:space="preserve"> una vez producida la transformación de la ejecución hipotecaria en ordinaria</w:t>
      </w:r>
      <w:r w:rsidR="000F3AEC" w:rsidRPr="000F3AEC">
        <w:rPr>
          <w:rFonts w:ascii="Century Gothic" w:eastAsia="Times New Roman" w:hAnsi="Century Gothic" w:cs="Arial"/>
          <w:b/>
          <w:bCs/>
          <w:sz w:val="24"/>
          <w:szCs w:val="24"/>
          <w:lang w:eastAsia="es-ES"/>
        </w:rPr>
        <w:t>.</w:t>
      </w:r>
    </w:p>
    <w:p w:rsidR="002A6940" w:rsidRDefault="000F3AEC" w:rsidP="00962970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0F3AEC">
        <w:rPr>
          <w:rFonts w:ascii="Century Gothic" w:eastAsia="Times New Roman" w:hAnsi="Century Gothic" w:cs="Arial"/>
          <w:sz w:val="24"/>
          <w:szCs w:val="24"/>
          <w:lang w:eastAsia="es-ES"/>
        </w:rPr>
        <w:t>Cuando en el proceso de ejecución de una hipoteca impagada, sea necesario proceder a embargar parte del sueldo del deudor, la cantidad inembargable se incrementará en un 50 por ciento</w:t>
      </w:r>
      <w:r w:rsidR="002A6940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, esto es, </w:t>
      </w:r>
      <w:r w:rsidR="001576B5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sólo podrá embargarse la cantidad que exceda del </w:t>
      </w:r>
      <w:r w:rsidR="002A6940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SMI </w:t>
      </w:r>
      <w:r w:rsidR="001576B5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más un 50 % </w:t>
      </w:r>
      <w:r w:rsidR="002A6940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(en la actualidad el RD </w:t>
      </w:r>
      <w:r w:rsidR="001576B5">
        <w:rPr>
          <w:rFonts w:ascii="Century Gothic" w:eastAsia="Times New Roman" w:hAnsi="Century Gothic" w:cs="Arial"/>
          <w:sz w:val="24"/>
          <w:szCs w:val="24"/>
          <w:lang w:eastAsia="es-ES"/>
        </w:rPr>
        <w:t>1795/2010, de 30 de diciembre,  fijó el SMI en 641,40 €).</w:t>
      </w:r>
    </w:p>
    <w:p w:rsidR="002A6940" w:rsidRDefault="002A6940" w:rsidP="00962970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sz w:val="24"/>
          <w:szCs w:val="24"/>
          <w:lang w:eastAsia="es-ES"/>
        </w:rPr>
        <w:t>Y en el supuesto de existir varios miembros del núcleo familiar sin ingresos propios regulares, salario o pensión superiores al salario mínimo interprofesional, se incrementará la cantidad inembargable en otro 30 % del salario mínimo interprofesional por cada miembro</w:t>
      </w:r>
      <w:r w:rsidR="001576B5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del núcleo familiar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. </w:t>
      </w:r>
    </w:p>
    <w:p w:rsidR="000F3AEC" w:rsidRPr="001576B5" w:rsidRDefault="001576B5" w:rsidP="002A6940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Indicar que por </w:t>
      </w:r>
      <w:r w:rsidR="000F3AEC" w:rsidRPr="001576B5">
        <w:rPr>
          <w:rFonts w:ascii="Century Gothic" w:eastAsia="Times New Roman" w:hAnsi="Century Gothic" w:cs="Arial"/>
          <w:bCs/>
          <w:sz w:val="24"/>
          <w:szCs w:val="24"/>
          <w:lang w:eastAsia="es-ES"/>
        </w:rPr>
        <w:t>núcleo familiar</w:t>
      </w:r>
      <w:r>
        <w:rPr>
          <w:rFonts w:ascii="Century Gothic" w:eastAsia="Times New Roman" w:hAnsi="Century Gothic" w:cs="Arial"/>
          <w:bCs/>
          <w:sz w:val="24"/>
          <w:szCs w:val="24"/>
          <w:lang w:eastAsia="es-ES"/>
        </w:rPr>
        <w:t xml:space="preserve"> se entiende</w:t>
      </w:r>
      <w:r w:rsidR="000F3AEC" w:rsidRPr="001576B5">
        <w:rPr>
          <w:rFonts w:ascii="Century Gothic" w:eastAsia="Times New Roman" w:hAnsi="Century Gothic" w:cs="Arial"/>
          <w:sz w:val="24"/>
          <w:szCs w:val="24"/>
          <w:lang w:eastAsia="es-ES"/>
        </w:rPr>
        <w:t>:</w:t>
      </w:r>
    </w:p>
    <w:p w:rsidR="000F3AEC" w:rsidRPr="001576B5" w:rsidRDefault="000F3AEC" w:rsidP="000F3AEC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1576B5">
        <w:rPr>
          <w:rFonts w:ascii="Century Gothic" w:eastAsia="Times New Roman" w:hAnsi="Century Gothic" w:cs="Arial"/>
          <w:sz w:val="24"/>
          <w:szCs w:val="24"/>
          <w:lang w:eastAsia="es-ES"/>
        </w:rPr>
        <w:t>- El cónyuge o pareja de hecho</w:t>
      </w:r>
    </w:p>
    <w:p w:rsidR="000F3AEC" w:rsidRPr="001576B5" w:rsidRDefault="000F3AEC" w:rsidP="000F3AEC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1576B5">
        <w:rPr>
          <w:rFonts w:ascii="Century Gothic" w:eastAsia="Times New Roman" w:hAnsi="Century Gothic" w:cs="Arial"/>
          <w:sz w:val="24"/>
          <w:szCs w:val="24"/>
          <w:lang w:eastAsia="es-ES"/>
        </w:rPr>
        <w:lastRenderedPageBreak/>
        <w:t>-Los ascendientes y descendientes de primer grado que convivan con el ejecutado.</w:t>
      </w:r>
    </w:p>
    <w:p w:rsidR="000F3AEC" w:rsidRDefault="001576B5" w:rsidP="000F3AEC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Fdo. Arancha Pajares Echeverría </w:t>
      </w:r>
    </w:p>
    <w:p w:rsidR="005C3691" w:rsidRPr="001576B5" w:rsidRDefault="005C3691" w:rsidP="000F3AEC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Pajares &amp; Asociados </w:t>
      </w:r>
    </w:p>
    <w:p w:rsidR="00210EB8" w:rsidRPr="001576B5" w:rsidRDefault="00210EB8" w:rsidP="000F3AEC">
      <w:pPr>
        <w:jc w:val="both"/>
        <w:rPr>
          <w:sz w:val="24"/>
          <w:szCs w:val="24"/>
        </w:rPr>
      </w:pPr>
    </w:p>
    <w:sectPr w:rsidR="00210EB8" w:rsidRPr="001576B5" w:rsidSect="00210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540F"/>
    <w:multiLevelType w:val="hybridMultilevel"/>
    <w:tmpl w:val="EA30F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16275"/>
    <w:multiLevelType w:val="hybridMultilevel"/>
    <w:tmpl w:val="0BCCD748"/>
    <w:lvl w:ilvl="0" w:tplc="921CBA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170EAD"/>
    <w:multiLevelType w:val="hybridMultilevel"/>
    <w:tmpl w:val="F14A571A"/>
    <w:lvl w:ilvl="0" w:tplc="27A44538">
      <w:start w:val="4"/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AEC"/>
    <w:rsid w:val="000F3AEC"/>
    <w:rsid w:val="001005B4"/>
    <w:rsid w:val="001576B5"/>
    <w:rsid w:val="00210EB8"/>
    <w:rsid w:val="002A6940"/>
    <w:rsid w:val="002D5E04"/>
    <w:rsid w:val="002E62FD"/>
    <w:rsid w:val="00332621"/>
    <w:rsid w:val="003C1E29"/>
    <w:rsid w:val="003F681B"/>
    <w:rsid w:val="0044372D"/>
    <w:rsid w:val="00472E36"/>
    <w:rsid w:val="004D1F1B"/>
    <w:rsid w:val="004D43BA"/>
    <w:rsid w:val="005234E5"/>
    <w:rsid w:val="005C3691"/>
    <w:rsid w:val="00751DFA"/>
    <w:rsid w:val="008460BB"/>
    <w:rsid w:val="00881B4F"/>
    <w:rsid w:val="008E0A7B"/>
    <w:rsid w:val="008F01FB"/>
    <w:rsid w:val="00906ADA"/>
    <w:rsid w:val="00962970"/>
    <w:rsid w:val="00A31116"/>
    <w:rsid w:val="00A57732"/>
    <w:rsid w:val="00EC378B"/>
    <w:rsid w:val="00EE430D"/>
    <w:rsid w:val="00F0731E"/>
    <w:rsid w:val="00FD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B8"/>
  </w:style>
  <w:style w:type="paragraph" w:styleId="Ttulo1">
    <w:name w:val="heading 1"/>
    <w:basedOn w:val="Normal"/>
    <w:link w:val="Ttulo1Car"/>
    <w:uiPriority w:val="9"/>
    <w:qFormat/>
    <w:rsid w:val="000F3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3"/>
      <w:szCs w:val="5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F3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3AEC"/>
    <w:rPr>
      <w:rFonts w:ascii="Times New Roman" w:eastAsia="Times New Roman" w:hAnsi="Times New Roman" w:cs="Times New Roman"/>
      <w:b/>
      <w:bCs/>
      <w:kern w:val="36"/>
      <w:sz w:val="53"/>
      <w:szCs w:val="53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F3AEC"/>
    <w:rPr>
      <w:rFonts w:ascii="Times New Roman" w:eastAsia="Times New Roman" w:hAnsi="Times New Roman" w:cs="Times New Roman"/>
      <w:b/>
      <w:bCs/>
      <w:sz w:val="43"/>
      <w:szCs w:val="43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F3AEC"/>
    <w:rPr>
      <w:strike w:val="0"/>
      <w:dstrike w:val="0"/>
      <w:color w:val="000000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0F3A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F6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47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4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arancha</dc:creator>
  <cp:lastModifiedBy>Andrea Peiró</cp:lastModifiedBy>
  <cp:revision>2</cp:revision>
  <cp:lastPrinted>2011-10-27T12:41:00Z</cp:lastPrinted>
  <dcterms:created xsi:type="dcterms:W3CDTF">2011-10-27T14:50:00Z</dcterms:created>
  <dcterms:modified xsi:type="dcterms:W3CDTF">2011-10-27T14:50:00Z</dcterms:modified>
</cp:coreProperties>
</file>